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1B5F3E8F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</w:t>
      </w:r>
      <w:r w:rsidR="00230B20">
        <w:rPr>
          <w:rFonts w:eastAsia="SimSun"/>
          <w:lang w:eastAsia="zh-CN"/>
        </w:rPr>
        <w:t>2</w:t>
      </w:r>
      <w:r w:rsidR="0083345D">
        <w:rPr>
          <w:rFonts w:eastAsia="SimSun"/>
          <w:lang w:eastAsia="zh-CN"/>
        </w:rPr>
        <w:t>-bis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</w:t>
      </w:r>
      <w:r w:rsidR="00371259">
        <w:tab/>
      </w:r>
      <w:r w:rsidR="00371259">
        <w:tab/>
      </w:r>
      <w:r>
        <w:t xml:space="preserve">   </w:t>
      </w:r>
      <w:r>
        <w:rPr>
          <w:rFonts w:eastAsia="SimSun" w:hint="eastAsia"/>
          <w:lang w:eastAsia="zh-CN"/>
        </w:rPr>
        <w:t xml:space="preserve"> </w:t>
      </w:r>
      <w:r w:rsidRPr="0083345D">
        <w:t>R4-19</w:t>
      </w:r>
      <w:r w:rsidR="001501C5">
        <w:t>11640</w:t>
      </w:r>
      <w:bookmarkStart w:id="2" w:name="_GoBack"/>
      <w:bookmarkEnd w:id="2"/>
    </w:p>
    <w:p w14:paraId="35BF833C" w14:textId="756B62E2" w:rsidR="00DF018A" w:rsidRPr="008E18F2" w:rsidRDefault="0083345D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Chongqing</w:t>
      </w:r>
      <w:r w:rsidR="00DF018A" w:rsidRPr="00E23C3E">
        <w:rPr>
          <w:rFonts w:hint="eastAsia"/>
        </w:rPr>
        <w:t>,</w:t>
      </w:r>
      <w:r w:rsidR="00DF018A" w:rsidRPr="00A62DA7">
        <w:rPr>
          <w:rFonts w:hint="eastAsia"/>
        </w:rPr>
        <w:t xml:space="preserve"> </w:t>
      </w:r>
      <w:r>
        <w:t>China</w:t>
      </w:r>
      <w:r w:rsidR="00AD15D4">
        <w:t xml:space="preserve">, </w:t>
      </w:r>
      <w:r>
        <w:rPr>
          <w:rFonts w:cs="Arial"/>
        </w:rPr>
        <w:t>14</w:t>
      </w:r>
      <w:r w:rsidR="00DF018A" w:rsidRPr="00084769">
        <w:rPr>
          <w:rFonts w:cs="Arial"/>
        </w:rPr>
        <w:t xml:space="preserve"> – </w:t>
      </w:r>
      <w:r>
        <w:rPr>
          <w:rFonts w:cs="Arial"/>
        </w:rPr>
        <w:t>18</w:t>
      </w:r>
      <w:r w:rsidR="00DF018A">
        <w:rPr>
          <w:rFonts w:cs="Arial"/>
        </w:rPr>
        <w:t xml:space="preserve"> </w:t>
      </w:r>
      <w:r>
        <w:rPr>
          <w:rFonts w:cs="Arial"/>
        </w:rPr>
        <w:t>October</w:t>
      </w:r>
      <w:r w:rsidR="00DF018A">
        <w:t>, 2019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774914C6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174F7">
        <w:rPr>
          <w:sz w:val="22"/>
        </w:rPr>
        <w:t>Frequency error considerations for IAB-Node</w:t>
      </w:r>
    </w:p>
    <w:p w14:paraId="38BCE621" w14:textId="7C99B66B" w:rsidR="00C24D31" w:rsidRPr="000D5C67" w:rsidRDefault="00C24D31" w:rsidP="0043450E">
      <w:pPr>
        <w:rPr>
          <w:sz w:val="22"/>
        </w:rPr>
      </w:pPr>
      <w:r w:rsidRPr="0057669F">
        <w:rPr>
          <w:b/>
          <w:color w:val="000000"/>
          <w:lang w:val="en-US"/>
        </w:rPr>
        <w:t>Agenda item:</w:t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BE7E4B" w:rsidRPr="00BE7E4B">
        <w:rPr>
          <w:sz w:val="22"/>
          <w:lang w:val="en-US"/>
        </w:rPr>
        <w:t>8</w:t>
      </w:r>
      <w:r w:rsidR="001B3B3F" w:rsidRPr="00BE7E4B">
        <w:rPr>
          <w:sz w:val="22"/>
        </w:rPr>
        <w:t>.5.3</w:t>
      </w:r>
    </w:p>
    <w:p w14:paraId="41D55FE6" w14:textId="56E33765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0D5C67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81A2A01" w14:textId="43180BC5" w:rsidR="00CF249F" w:rsidRDefault="00E075EC" w:rsidP="000B5E8E">
      <w:r>
        <w:t>In this contribution the principle of frequency error requirement for IAB-Node is discussed.</w:t>
      </w:r>
    </w:p>
    <w:p w14:paraId="1ECA57B6" w14:textId="77777777" w:rsidR="001C3296" w:rsidRDefault="001C3296" w:rsidP="001C3296">
      <w:pPr>
        <w:pStyle w:val="Heading1"/>
      </w:pPr>
      <w:r>
        <w:t>2</w:t>
      </w:r>
      <w:r>
        <w:tab/>
        <w:t>Discussion</w:t>
      </w:r>
    </w:p>
    <w:p w14:paraId="4F21E7BC" w14:textId="78D94821" w:rsidR="00331CE4" w:rsidRDefault="00E075EC" w:rsidP="003879A9">
      <w:r>
        <w:t xml:space="preserve">In current RAN4 RF performance specifications the principle of frequency error requirement differs between UE and base station requirements. A UE is required to synchronize to the frequency it receives and transmit back within a limited frequency error compared to the received signal. A base station instead needs to be within a limited frequency error from an absolute assigned frequency. Regarding IAB-Nodes, this raises a question how frequency error should be treated, as the Node includes both UE-like (IAB-MT) and base station like (IAB-DU) functionality. </w:t>
      </w:r>
    </w:p>
    <w:p w14:paraId="56D192AD" w14:textId="72E72695" w:rsidR="00165FD9" w:rsidRDefault="00640C2B" w:rsidP="003879A9">
      <w:proofErr w:type="gramStart"/>
      <w:r>
        <w:t>Both of the options</w:t>
      </w:r>
      <w:proofErr w:type="gramEnd"/>
      <w:r>
        <w:t xml:space="preserve"> above could be considered and both of those have specific challenges. In case IAB-Node relies only on the signals it receives, there is a possibility that a cumulating frequency error is introduced into the network. This happens in a multi-hop scenario where the transmit frequency of each Node is skewed to the same direction from the ideal frequency. This is not desirable.</w:t>
      </w:r>
    </w:p>
    <w:p w14:paraId="28C005C9" w14:textId="2ED8B525" w:rsidR="00640C2B" w:rsidRDefault="00640C2B" w:rsidP="003879A9">
      <w:r>
        <w:t xml:space="preserve">In case IAB-Node frequency error is measured </w:t>
      </w:r>
      <w:r w:rsidR="00E55815">
        <w:t xml:space="preserve">only </w:t>
      </w:r>
      <w:r>
        <w:t>against an absolute reference</w:t>
      </w:r>
      <w:r w:rsidR="00E55815">
        <w:t xml:space="preserve"> frequency</w:t>
      </w:r>
      <w:r>
        <w:t>, a difference compared to communication between base station and UE</w:t>
      </w:r>
      <w:r w:rsidR="00E55815">
        <w:t xml:space="preserve"> is introduced</w:t>
      </w:r>
      <w:r>
        <w:t xml:space="preserve">. </w:t>
      </w:r>
      <w:r w:rsidR="00E55815">
        <w:t>IAB-parent and IAB-node transmit frequencies may skew towards opposite directions from the reference and therefore</w:t>
      </w:r>
      <w:r>
        <w:t xml:space="preserve"> </w:t>
      </w:r>
      <w:r w:rsidR="00E55815">
        <w:t>the resulting difference between transmitted and received frequency can up to twice as big as in rel-15. Effectively this means that base station receives sees increased doppler shift. This is also not desirable.</w:t>
      </w:r>
      <w:r>
        <w:t xml:space="preserve"> </w:t>
      </w:r>
    </w:p>
    <w:p w14:paraId="4DD82FC1" w14:textId="7AC0B529" w:rsidR="00E075EC" w:rsidRDefault="00570007" w:rsidP="003879A9">
      <w:r>
        <w:t xml:space="preserve">It has been </w:t>
      </w:r>
      <w:proofErr w:type="spellStart"/>
      <w:r>
        <w:t>minuted</w:t>
      </w:r>
      <w:proofErr w:type="spellEnd"/>
      <w:r>
        <w:t xml:space="preserve"> in RAN4#91 Chairman session report that there should be no impact on existing BS and UE RF requirements due to the introduction of IAB.</w:t>
      </w:r>
      <w:r w:rsidR="001C1F8F">
        <w:t xml:space="preserve"> </w:t>
      </w:r>
      <w:r w:rsidR="00035ACA">
        <w:t>This agreement can be used as the guideline in setting the frequency error requirement for IAB-Node. In order to keep the parent-node receiver performance unchanged, the child-node UL transmissions should be frequency synchronized to the signal received from parent node, i.e. IAB-Node UL transmissions follow the same principle as UEs when it comes to frequency error.</w:t>
      </w:r>
      <w:r w:rsidR="00640C2B">
        <w:t xml:space="preserve"> This means that the frequency error between the real transmitted and received signals does not increase compared to rel-15 and therefore no difference in receiver performance is also expected.</w:t>
      </w:r>
    </w:p>
    <w:p w14:paraId="1AC2095D" w14:textId="4C612E71" w:rsidR="00E075EC" w:rsidRDefault="00035ACA" w:rsidP="00D56480">
      <w:r>
        <w:t xml:space="preserve">Similarly, IAB-Node transmissions towards child Nodes or UEs should be frequency synchronized to an absolute assigned frequency, i.e. they follow the same principle as current base station frequency error requirements. </w:t>
      </w:r>
      <w:r w:rsidR="00D56480">
        <w:t>This means that frequency error is not allowed to cumulate in the</w:t>
      </w:r>
      <w:r w:rsidR="00E55815">
        <w:t xml:space="preserve"> network</w:t>
      </w:r>
      <w:r w:rsidR="00D56480">
        <w:t>.</w:t>
      </w:r>
    </w:p>
    <w:p w14:paraId="7EA27E7F" w14:textId="407BA666" w:rsidR="00D56480" w:rsidRDefault="004370C8" w:rsidP="00D56480">
      <w:r>
        <w:t xml:space="preserve">As a </w:t>
      </w:r>
      <w:proofErr w:type="gramStart"/>
      <w:r>
        <w:t>result</w:t>
      </w:r>
      <w:proofErr w:type="gramEnd"/>
      <w:r>
        <w:t xml:space="preserve"> from this arrangement, the reference frequency for IAB-Node changes depending on which link it is transmitting. This has been illustrated in Figure 1. </w:t>
      </w:r>
      <w:r w:rsidR="006D0E2D">
        <w:t xml:space="preserve">It should be noted that this creates a scenario where </w:t>
      </w:r>
      <w:proofErr w:type="spellStart"/>
      <w:r w:rsidR="006D0E2D">
        <w:t>f</w:t>
      </w:r>
      <w:r w:rsidR="006D0E2D" w:rsidRPr="006D0E2D">
        <w:rPr>
          <w:vertAlign w:val="subscript"/>
        </w:rPr>
        <w:t>MT</w:t>
      </w:r>
      <w:proofErr w:type="spellEnd"/>
      <w:r w:rsidR="006D0E2D">
        <w:t xml:space="preserve"> can be outside the allowed frequency range of </w:t>
      </w:r>
      <w:proofErr w:type="spellStart"/>
      <w:r w:rsidR="006D0E2D">
        <w:t>f</w:t>
      </w:r>
      <w:r w:rsidR="006D0E2D" w:rsidRPr="006D0E2D">
        <w:rPr>
          <w:vertAlign w:val="subscript"/>
        </w:rPr>
        <w:t>DU</w:t>
      </w:r>
      <w:proofErr w:type="spellEnd"/>
      <w:r w:rsidR="006D0E2D">
        <w:t xml:space="preserve">, or vice versa. </w:t>
      </w:r>
      <w:r>
        <w:t xml:space="preserve">While this is not ideal, it is expected that </w:t>
      </w:r>
      <w:r w:rsidR="00B614B4">
        <w:t>this can be handled by IAB-Node implementation.</w:t>
      </w:r>
    </w:p>
    <w:p w14:paraId="26D8CF2B" w14:textId="77777777" w:rsidR="006D0E2D" w:rsidRDefault="006D0E2D" w:rsidP="00D56480"/>
    <w:p w14:paraId="33B4C387" w14:textId="50394793" w:rsidR="004370C8" w:rsidRDefault="006D0E2D" w:rsidP="004370C8">
      <w:pPr>
        <w:jc w:val="center"/>
      </w:pPr>
      <w:r>
        <w:object w:dxaOrig="7665" w:dyaOrig="2776" w14:anchorId="012EAD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65pt;height:121.55pt" o:ole="">
            <v:imagedata r:id="rId8" o:title=""/>
          </v:shape>
          <o:OLEObject Type="Embed" ProgID="Visio.Drawing.15" ShapeID="_x0000_i1025" DrawAspect="Content" ObjectID="_1631700881" r:id="rId9"/>
        </w:object>
      </w:r>
    </w:p>
    <w:p w14:paraId="672F045E" w14:textId="52FD74FD" w:rsidR="004370C8" w:rsidRPr="004370C8" w:rsidRDefault="004370C8" w:rsidP="004370C8">
      <w:pPr>
        <w:jc w:val="center"/>
        <w:rPr>
          <w:b/>
        </w:rPr>
      </w:pPr>
      <w:r w:rsidRPr="004370C8">
        <w:rPr>
          <w:b/>
        </w:rPr>
        <w:t>Figure 1</w:t>
      </w:r>
      <w:r>
        <w:rPr>
          <w:b/>
        </w:rPr>
        <w:t>: IAB-Node reference frequencies</w:t>
      </w:r>
      <w:r w:rsidR="00E55815">
        <w:rPr>
          <w:b/>
        </w:rPr>
        <w:t>, assuming +/- 0.1 ppm error for all links</w:t>
      </w:r>
    </w:p>
    <w:p w14:paraId="674BC507" w14:textId="633AC346" w:rsidR="004370C8" w:rsidRDefault="00B614B4" w:rsidP="00D56480">
      <w:r>
        <w:t>Based on the analysis above, the following proposals are made:</w:t>
      </w:r>
    </w:p>
    <w:p w14:paraId="14C12690" w14:textId="77777777" w:rsidR="00B614B4" w:rsidRDefault="00B614B4" w:rsidP="00B614B4">
      <w:pPr>
        <w:rPr>
          <w:b/>
        </w:rPr>
      </w:pPr>
      <w:r w:rsidRPr="004370C8">
        <w:rPr>
          <w:b/>
        </w:rPr>
        <w:t>Proposal 1:</w:t>
      </w:r>
      <w:r>
        <w:rPr>
          <w:b/>
        </w:rPr>
        <w:t xml:space="preserve"> IAB-MT frequency error is measured against the received signal frequency, 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NR UE.</w:t>
      </w:r>
    </w:p>
    <w:p w14:paraId="6062444C" w14:textId="4F926461" w:rsidR="00B614B4" w:rsidRPr="00B614B4" w:rsidRDefault="00B614B4" w:rsidP="00D56480">
      <w:pPr>
        <w:rPr>
          <w:b/>
        </w:rPr>
      </w:pPr>
      <w:r w:rsidRPr="004370C8">
        <w:rPr>
          <w:b/>
        </w:rPr>
        <w:t xml:space="preserve">Proposal </w:t>
      </w:r>
      <w:r>
        <w:rPr>
          <w:b/>
        </w:rPr>
        <w:t>2</w:t>
      </w:r>
      <w:r w:rsidRPr="004370C8">
        <w:rPr>
          <w:b/>
        </w:rPr>
        <w:t>:</w:t>
      </w:r>
      <w:r>
        <w:rPr>
          <w:b/>
        </w:rPr>
        <w:t xml:space="preserve"> IAB-DU frequency error is measured against an absolute reference frequency, 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NR BS.</w:t>
      </w:r>
    </w:p>
    <w:p w14:paraId="52782008" w14:textId="77777777" w:rsidR="00F32200" w:rsidRDefault="00F32200" w:rsidP="00F32200">
      <w:pPr>
        <w:pStyle w:val="Heading1"/>
      </w:pPr>
      <w:r>
        <w:t>3</w:t>
      </w:r>
      <w:r>
        <w:tab/>
        <w:t>Conclusion</w:t>
      </w:r>
    </w:p>
    <w:p w14:paraId="5D96FB4B" w14:textId="151114D8" w:rsidR="006C16B3" w:rsidRDefault="00E46CA7" w:rsidP="006C16B3">
      <w:r>
        <w:t xml:space="preserve">In this </w:t>
      </w:r>
      <w:r w:rsidR="00870635">
        <w:t>contribution</w:t>
      </w:r>
      <w:r w:rsidR="00845E2E">
        <w:t xml:space="preserve"> </w:t>
      </w:r>
      <w:r w:rsidR="004370C8">
        <w:t>frequency error requirement for IAB-Node was discussed. To maintain the rel-15 behaviour and avoid cumulating frequency error in the network the following proposals were made:</w:t>
      </w:r>
    </w:p>
    <w:p w14:paraId="000EA3C4" w14:textId="7A850428" w:rsidR="004370C8" w:rsidRDefault="004370C8" w:rsidP="006C16B3">
      <w:pPr>
        <w:rPr>
          <w:b/>
        </w:rPr>
      </w:pPr>
      <w:r w:rsidRPr="004370C8">
        <w:rPr>
          <w:b/>
        </w:rPr>
        <w:t>Proposal 1:</w:t>
      </w:r>
      <w:r>
        <w:rPr>
          <w:b/>
        </w:rPr>
        <w:t xml:space="preserve"> IAB-MT frequency error is measured against the received signal frequency, 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NR UE.</w:t>
      </w:r>
    </w:p>
    <w:p w14:paraId="12AE3D79" w14:textId="3FD33124" w:rsidR="00DD43B9" w:rsidRPr="008D6E47" w:rsidRDefault="004370C8" w:rsidP="00F8280F">
      <w:pPr>
        <w:rPr>
          <w:b/>
        </w:rPr>
      </w:pPr>
      <w:r w:rsidRPr="004370C8">
        <w:rPr>
          <w:b/>
        </w:rPr>
        <w:t xml:space="preserve">Proposal </w:t>
      </w:r>
      <w:r>
        <w:rPr>
          <w:b/>
        </w:rPr>
        <w:t>2</w:t>
      </w:r>
      <w:r w:rsidRPr="004370C8">
        <w:rPr>
          <w:b/>
        </w:rPr>
        <w:t>:</w:t>
      </w:r>
      <w:r>
        <w:rPr>
          <w:b/>
        </w:rPr>
        <w:t xml:space="preserve"> IAB-DU frequency error is measured against an absolute reference frequency, 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NR BS.</w:t>
      </w:r>
    </w:p>
    <w:p w14:paraId="55B204E9" w14:textId="77777777" w:rsidR="0057669F" w:rsidRDefault="0057669F" w:rsidP="0057669F">
      <w:pPr>
        <w:pStyle w:val="Heading1"/>
      </w:pPr>
      <w:r>
        <w:t>4</w:t>
      </w:r>
      <w:r>
        <w:tab/>
        <w:t>Reference</w:t>
      </w:r>
      <w:r w:rsidR="0035582C">
        <w:t>s</w:t>
      </w:r>
    </w:p>
    <w:p w14:paraId="43EA2530" w14:textId="523DC167" w:rsidR="006C16B3" w:rsidRPr="00C14230" w:rsidRDefault="006C16B3" w:rsidP="006C16B3">
      <w:pPr>
        <w:ind w:left="567" w:hanging="567"/>
      </w:pPr>
    </w:p>
    <w:p w14:paraId="3FF00238" w14:textId="0DEE1AE8" w:rsidR="006750A5" w:rsidRPr="00C14230" w:rsidRDefault="006750A5" w:rsidP="000450CB">
      <w:pPr>
        <w:ind w:left="567" w:hanging="567"/>
      </w:pPr>
    </w:p>
    <w:sectPr w:rsidR="006750A5" w:rsidRPr="00C14230" w:rsidSect="00F322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897B8" w14:textId="77777777" w:rsidR="002C40D6" w:rsidRDefault="002C40D6" w:rsidP="002B3503">
      <w:pPr>
        <w:spacing w:after="0"/>
      </w:pPr>
      <w:r>
        <w:separator/>
      </w:r>
    </w:p>
  </w:endnote>
  <w:endnote w:type="continuationSeparator" w:id="0">
    <w:p w14:paraId="16F8632E" w14:textId="77777777" w:rsidR="002C40D6" w:rsidRDefault="002C40D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1A9F" w14:textId="77777777" w:rsidR="006A21E1" w:rsidRDefault="006A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594D" w14:textId="77777777" w:rsidR="006A21E1" w:rsidRDefault="006A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7A5" w14:textId="77777777" w:rsidR="006A21E1" w:rsidRDefault="006A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2F3D5" w14:textId="77777777" w:rsidR="002C40D6" w:rsidRDefault="002C40D6" w:rsidP="002B3503">
      <w:pPr>
        <w:spacing w:after="0"/>
      </w:pPr>
      <w:r>
        <w:separator/>
      </w:r>
    </w:p>
  </w:footnote>
  <w:footnote w:type="continuationSeparator" w:id="0">
    <w:p w14:paraId="13248993" w14:textId="77777777" w:rsidR="002C40D6" w:rsidRDefault="002C40D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7148" w14:textId="77777777" w:rsidR="006A21E1" w:rsidRDefault="006A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BF74" w14:textId="77777777" w:rsidR="006A21E1" w:rsidRDefault="006A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2"/>
  </w:num>
  <w:num w:numId="9">
    <w:abstractNumId w:val="0"/>
  </w:num>
  <w:num w:numId="10">
    <w:abstractNumId w:val="6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0488B"/>
    <w:rsid w:val="00013683"/>
    <w:rsid w:val="000138E1"/>
    <w:rsid w:val="000146D1"/>
    <w:rsid w:val="00017F18"/>
    <w:rsid w:val="00035ACA"/>
    <w:rsid w:val="000450CB"/>
    <w:rsid w:val="00046F81"/>
    <w:rsid w:val="00051A7D"/>
    <w:rsid w:val="000832DA"/>
    <w:rsid w:val="00091F0B"/>
    <w:rsid w:val="000943A9"/>
    <w:rsid w:val="000A4A61"/>
    <w:rsid w:val="000A5C0F"/>
    <w:rsid w:val="000A6473"/>
    <w:rsid w:val="000A7F46"/>
    <w:rsid w:val="000B4E56"/>
    <w:rsid w:val="000B5E8E"/>
    <w:rsid w:val="000C07E1"/>
    <w:rsid w:val="000D0627"/>
    <w:rsid w:val="000D5C67"/>
    <w:rsid w:val="000D6C3A"/>
    <w:rsid w:val="000E41E5"/>
    <w:rsid w:val="000F2546"/>
    <w:rsid w:val="00101626"/>
    <w:rsid w:val="00101848"/>
    <w:rsid w:val="00113312"/>
    <w:rsid w:val="001364A1"/>
    <w:rsid w:val="0015000E"/>
    <w:rsid w:val="001501C5"/>
    <w:rsid w:val="0016131F"/>
    <w:rsid w:val="00164A53"/>
    <w:rsid w:val="00165FD9"/>
    <w:rsid w:val="0018022D"/>
    <w:rsid w:val="001B180D"/>
    <w:rsid w:val="001B3B3F"/>
    <w:rsid w:val="001B494A"/>
    <w:rsid w:val="001C1F8F"/>
    <w:rsid w:val="001C3296"/>
    <w:rsid w:val="001D4627"/>
    <w:rsid w:val="00210C9E"/>
    <w:rsid w:val="002127E2"/>
    <w:rsid w:val="00213D17"/>
    <w:rsid w:val="00214C87"/>
    <w:rsid w:val="00215035"/>
    <w:rsid w:val="00230B20"/>
    <w:rsid w:val="00237779"/>
    <w:rsid w:val="00237803"/>
    <w:rsid w:val="002521F4"/>
    <w:rsid w:val="002640C9"/>
    <w:rsid w:val="00277EE7"/>
    <w:rsid w:val="00285189"/>
    <w:rsid w:val="00285EBA"/>
    <w:rsid w:val="00291DDD"/>
    <w:rsid w:val="002A7181"/>
    <w:rsid w:val="002B3503"/>
    <w:rsid w:val="002B3F6F"/>
    <w:rsid w:val="002C1641"/>
    <w:rsid w:val="002C1C70"/>
    <w:rsid w:val="002C40D6"/>
    <w:rsid w:val="002D2721"/>
    <w:rsid w:val="002F0018"/>
    <w:rsid w:val="002F139F"/>
    <w:rsid w:val="002F6A38"/>
    <w:rsid w:val="003174F7"/>
    <w:rsid w:val="00321E9D"/>
    <w:rsid w:val="00331CE4"/>
    <w:rsid w:val="00347DEA"/>
    <w:rsid w:val="00351332"/>
    <w:rsid w:val="0035582C"/>
    <w:rsid w:val="003613B8"/>
    <w:rsid w:val="00363074"/>
    <w:rsid w:val="00371259"/>
    <w:rsid w:val="003777FE"/>
    <w:rsid w:val="003841C3"/>
    <w:rsid w:val="003879A9"/>
    <w:rsid w:val="003A1BF2"/>
    <w:rsid w:val="003C3016"/>
    <w:rsid w:val="003D3111"/>
    <w:rsid w:val="003D5813"/>
    <w:rsid w:val="003E36C3"/>
    <w:rsid w:val="003F0CBC"/>
    <w:rsid w:val="003F1982"/>
    <w:rsid w:val="004035FC"/>
    <w:rsid w:val="00404C40"/>
    <w:rsid w:val="0042109F"/>
    <w:rsid w:val="00427F57"/>
    <w:rsid w:val="0043450E"/>
    <w:rsid w:val="004370C8"/>
    <w:rsid w:val="00453BA5"/>
    <w:rsid w:val="00454E53"/>
    <w:rsid w:val="004754A1"/>
    <w:rsid w:val="00482477"/>
    <w:rsid w:val="00482BAF"/>
    <w:rsid w:val="00484762"/>
    <w:rsid w:val="00491386"/>
    <w:rsid w:val="00494F18"/>
    <w:rsid w:val="00496D0E"/>
    <w:rsid w:val="004A41DA"/>
    <w:rsid w:val="004A47DD"/>
    <w:rsid w:val="004C0103"/>
    <w:rsid w:val="004C4473"/>
    <w:rsid w:val="004C58F9"/>
    <w:rsid w:val="004D0C67"/>
    <w:rsid w:val="004D3D81"/>
    <w:rsid w:val="004D4354"/>
    <w:rsid w:val="005001B2"/>
    <w:rsid w:val="00507108"/>
    <w:rsid w:val="00512C65"/>
    <w:rsid w:val="00527349"/>
    <w:rsid w:val="005304C6"/>
    <w:rsid w:val="005357BB"/>
    <w:rsid w:val="00541E71"/>
    <w:rsid w:val="00542EA4"/>
    <w:rsid w:val="00544A0E"/>
    <w:rsid w:val="005472C5"/>
    <w:rsid w:val="00551BD8"/>
    <w:rsid w:val="00560A63"/>
    <w:rsid w:val="00564B2E"/>
    <w:rsid w:val="00570007"/>
    <w:rsid w:val="00570B14"/>
    <w:rsid w:val="0057669F"/>
    <w:rsid w:val="005A3D67"/>
    <w:rsid w:val="005B2640"/>
    <w:rsid w:val="005C3C47"/>
    <w:rsid w:val="005D0FDB"/>
    <w:rsid w:val="005D7B06"/>
    <w:rsid w:val="005E49A2"/>
    <w:rsid w:val="005F1F1C"/>
    <w:rsid w:val="005F6CE3"/>
    <w:rsid w:val="00602EB6"/>
    <w:rsid w:val="0060382B"/>
    <w:rsid w:val="006168C2"/>
    <w:rsid w:val="00630341"/>
    <w:rsid w:val="00640C2B"/>
    <w:rsid w:val="00641C2E"/>
    <w:rsid w:val="00654B03"/>
    <w:rsid w:val="00663E30"/>
    <w:rsid w:val="00666120"/>
    <w:rsid w:val="00673969"/>
    <w:rsid w:val="006750A5"/>
    <w:rsid w:val="00692D32"/>
    <w:rsid w:val="006A21E1"/>
    <w:rsid w:val="006A6876"/>
    <w:rsid w:val="006B720B"/>
    <w:rsid w:val="006C16B3"/>
    <w:rsid w:val="006C6840"/>
    <w:rsid w:val="006C7482"/>
    <w:rsid w:val="006D0E2D"/>
    <w:rsid w:val="006E3462"/>
    <w:rsid w:val="006F1B82"/>
    <w:rsid w:val="006F651D"/>
    <w:rsid w:val="00701131"/>
    <w:rsid w:val="00710301"/>
    <w:rsid w:val="00710E9F"/>
    <w:rsid w:val="007120DD"/>
    <w:rsid w:val="00721417"/>
    <w:rsid w:val="00726265"/>
    <w:rsid w:val="00734EBD"/>
    <w:rsid w:val="00742892"/>
    <w:rsid w:val="00747246"/>
    <w:rsid w:val="00753982"/>
    <w:rsid w:val="00763E62"/>
    <w:rsid w:val="00782875"/>
    <w:rsid w:val="007A12F4"/>
    <w:rsid w:val="007A23DA"/>
    <w:rsid w:val="007C0429"/>
    <w:rsid w:val="007D20DF"/>
    <w:rsid w:val="007E79BE"/>
    <w:rsid w:val="008236E4"/>
    <w:rsid w:val="0083345D"/>
    <w:rsid w:val="0084176E"/>
    <w:rsid w:val="00845E2E"/>
    <w:rsid w:val="00850296"/>
    <w:rsid w:val="00853EC3"/>
    <w:rsid w:val="00870635"/>
    <w:rsid w:val="00874DB0"/>
    <w:rsid w:val="008771F4"/>
    <w:rsid w:val="008922F9"/>
    <w:rsid w:val="0089736D"/>
    <w:rsid w:val="008A4493"/>
    <w:rsid w:val="008B5F74"/>
    <w:rsid w:val="008D39F0"/>
    <w:rsid w:val="008D6E47"/>
    <w:rsid w:val="008F311C"/>
    <w:rsid w:val="008F463D"/>
    <w:rsid w:val="009050E8"/>
    <w:rsid w:val="00906259"/>
    <w:rsid w:val="0091383D"/>
    <w:rsid w:val="00932D74"/>
    <w:rsid w:val="009351C4"/>
    <w:rsid w:val="00937974"/>
    <w:rsid w:val="00940559"/>
    <w:rsid w:val="00943634"/>
    <w:rsid w:val="0096038C"/>
    <w:rsid w:val="009674D4"/>
    <w:rsid w:val="00977A17"/>
    <w:rsid w:val="00982464"/>
    <w:rsid w:val="00996062"/>
    <w:rsid w:val="009A3979"/>
    <w:rsid w:val="009A6A8B"/>
    <w:rsid w:val="009A70AA"/>
    <w:rsid w:val="009B1E68"/>
    <w:rsid w:val="009B7379"/>
    <w:rsid w:val="009E3B23"/>
    <w:rsid w:val="00A067D5"/>
    <w:rsid w:val="00A10A2C"/>
    <w:rsid w:val="00A15FBF"/>
    <w:rsid w:val="00A16034"/>
    <w:rsid w:val="00A451E8"/>
    <w:rsid w:val="00A466BF"/>
    <w:rsid w:val="00A47C8B"/>
    <w:rsid w:val="00A6018C"/>
    <w:rsid w:val="00A64564"/>
    <w:rsid w:val="00A708BD"/>
    <w:rsid w:val="00A8390A"/>
    <w:rsid w:val="00A97C2D"/>
    <w:rsid w:val="00AB5402"/>
    <w:rsid w:val="00AD15D4"/>
    <w:rsid w:val="00AD71AD"/>
    <w:rsid w:val="00AE6327"/>
    <w:rsid w:val="00AF14A0"/>
    <w:rsid w:val="00B1541B"/>
    <w:rsid w:val="00B31BAE"/>
    <w:rsid w:val="00B4385F"/>
    <w:rsid w:val="00B614B4"/>
    <w:rsid w:val="00B638DE"/>
    <w:rsid w:val="00B6504C"/>
    <w:rsid w:val="00B65B59"/>
    <w:rsid w:val="00BA3DB3"/>
    <w:rsid w:val="00BC764C"/>
    <w:rsid w:val="00BD0FF7"/>
    <w:rsid w:val="00BD5DF4"/>
    <w:rsid w:val="00BE140C"/>
    <w:rsid w:val="00BE5FB6"/>
    <w:rsid w:val="00BE7E4B"/>
    <w:rsid w:val="00BF1B24"/>
    <w:rsid w:val="00BF4B17"/>
    <w:rsid w:val="00C14230"/>
    <w:rsid w:val="00C21554"/>
    <w:rsid w:val="00C24C90"/>
    <w:rsid w:val="00C24D31"/>
    <w:rsid w:val="00C33434"/>
    <w:rsid w:val="00C944DE"/>
    <w:rsid w:val="00CA5455"/>
    <w:rsid w:val="00CB7240"/>
    <w:rsid w:val="00CC3529"/>
    <w:rsid w:val="00CD4FAF"/>
    <w:rsid w:val="00CF249F"/>
    <w:rsid w:val="00D26459"/>
    <w:rsid w:val="00D275CC"/>
    <w:rsid w:val="00D355D3"/>
    <w:rsid w:val="00D54EAA"/>
    <w:rsid w:val="00D56480"/>
    <w:rsid w:val="00D5669A"/>
    <w:rsid w:val="00D767C4"/>
    <w:rsid w:val="00D77CF5"/>
    <w:rsid w:val="00D848CC"/>
    <w:rsid w:val="00D86BF8"/>
    <w:rsid w:val="00D903D5"/>
    <w:rsid w:val="00D944B1"/>
    <w:rsid w:val="00D95179"/>
    <w:rsid w:val="00DB3EC2"/>
    <w:rsid w:val="00DB5AD3"/>
    <w:rsid w:val="00DB78B8"/>
    <w:rsid w:val="00DC1E18"/>
    <w:rsid w:val="00DC7584"/>
    <w:rsid w:val="00DD43B9"/>
    <w:rsid w:val="00DF018A"/>
    <w:rsid w:val="00DF0C0A"/>
    <w:rsid w:val="00E00F64"/>
    <w:rsid w:val="00E010A0"/>
    <w:rsid w:val="00E075EC"/>
    <w:rsid w:val="00E13DFA"/>
    <w:rsid w:val="00E3148E"/>
    <w:rsid w:val="00E33B68"/>
    <w:rsid w:val="00E46CA7"/>
    <w:rsid w:val="00E55815"/>
    <w:rsid w:val="00E56A42"/>
    <w:rsid w:val="00E90BCB"/>
    <w:rsid w:val="00E962C5"/>
    <w:rsid w:val="00EA3488"/>
    <w:rsid w:val="00EB5F7D"/>
    <w:rsid w:val="00EC589F"/>
    <w:rsid w:val="00EF103D"/>
    <w:rsid w:val="00EF6304"/>
    <w:rsid w:val="00F03666"/>
    <w:rsid w:val="00F32200"/>
    <w:rsid w:val="00F40AF9"/>
    <w:rsid w:val="00F45F03"/>
    <w:rsid w:val="00F51367"/>
    <w:rsid w:val="00F65437"/>
    <w:rsid w:val="00F67501"/>
    <w:rsid w:val="00F8280F"/>
    <w:rsid w:val="00F832DE"/>
    <w:rsid w:val="00F95973"/>
    <w:rsid w:val="00F95D75"/>
    <w:rsid w:val="00F96BF4"/>
    <w:rsid w:val="00F974FD"/>
    <w:rsid w:val="00F97D64"/>
    <w:rsid w:val="00FA111D"/>
    <w:rsid w:val="00FA2A7B"/>
    <w:rsid w:val="00FA66CB"/>
    <w:rsid w:val="00FB7D23"/>
    <w:rsid w:val="00FC75E4"/>
    <w:rsid w:val="00FC7CFA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18E3408D"/>
  <w15:chartTrackingRefBased/>
  <w15:docId w15:val="{3AC59C5E-A003-4CB7-8D86-BAF64893A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link w:val="B1Char"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750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8CA1A-C0E2-4D57-A52E-D4B9B0E05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610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Nokia-user</cp:lastModifiedBy>
  <cp:revision>2</cp:revision>
  <cp:lastPrinted>1900-01-01T05:59:00Z</cp:lastPrinted>
  <dcterms:created xsi:type="dcterms:W3CDTF">2019-10-04T10:28:00Z</dcterms:created>
  <dcterms:modified xsi:type="dcterms:W3CDTF">2019-10-04T10:28:00Z</dcterms:modified>
</cp:coreProperties>
</file>